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8E13F2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F27D86" w:rsidRPr="006146DD" w:rsidRDefault="008E13F2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Парфеновское</w:t>
      </w:r>
      <w:r w:rsidR="00F27D86" w:rsidRPr="006146DD">
        <w:rPr>
          <w:b/>
          <w:sz w:val="28"/>
          <w:szCs w:val="28"/>
        </w:rPr>
        <w:t xml:space="preserve"> муниципальное образование</w:t>
      </w:r>
    </w:p>
    <w:p w:rsidR="00F27D86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F27D8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3F2">
        <w:rPr>
          <w:sz w:val="28"/>
          <w:szCs w:val="28"/>
        </w:rPr>
        <w:t>25.11.2019  №  11</w:t>
      </w:r>
      <w:r w:rsidR="00C377B6">
        <w:rPr>
          <w:sz w:val="28"/>
          <w:szCs w:val="28"/>
        </w:rPr>
        <w:t>2</w:t>
      </w:r>
    </w:p>
    <w:p w:rsidR="00F27D86" w:rsidRDefault="008E13F2" w:rsidP="00F27D86">
      <w:pPr>
        <w:rPr>
          <w:sz w:val="28"/>
          <w:szCs w:val="28"/>
        </w:rPr>
      </w:pPr>
      <w:r>
        <w:rPr>
          <w:sz w:val="28"/>
          <w:szCs w:val="28"/>
        </w:rPr>
        <w:t>с.  Парфеново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Об установлении и введении в дейст</w:t>
      </w:r>
      <w:r w:rsidR="008E13F2">
        <w:rPr>
          <w:b/>
          <w:bCs/>
          <w:kern w:val="28"/>
        </w:rPr>
        <w:t>вие</w:t>
      </w:r>
      <w:r w:rsidR="008E13F2">
        <w:rPr>
          <w:b/>
          <w:bCs/>
          <w:kern w:val="28"/>
        </w:rPr>
        <w:br/>
        <w:t>на территории Парфеновского</w:t>
      </w: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муниципального образования</w:t>
      </w:r>
    </w:p>
    <w:p w:rsidR="001542E0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налога на имущество физических лиц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1542E0" w:rsidRPr="00971B6D" w:rsidRDefault="001542E0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F5726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971B6D">
        <w:rPr>
          <w:kern w:val="28"/>
          <w:sz w:val="28"/>
          <w:szCs w:val="28"/>
        </w:rPr>
        <w:t xml:space="preserve">Руководствуясь </w:t>
      </w:r>
      <w:r w:rsidR="00E67AC3"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 w:rsidR="007D6CB6">
        <w:rPr>
          <w:kern w:val="28"/>
          <w:sz w:val="28"/>
          <w:szCs w:val="28"/>
        </w:rPr>
        <w:t xml:space="preserve">ской Федерации, </w:t>
      </w:r>
      <w:r w:rsidR="00C11D62" w:rsidRPr="00C11D62">
        <w:rPr>
          <w:kern w:val="28"/>
          <w:sz w:val="28"/>
          <w:szCs w:val="28"/>
        </w:rPr>
        <w:t>Закон</w:t>
      </w:r>
      <w:r w:rsidR="00C11D62">
        <w:rPr>
          <w:kern w:val="28"/>
          <w:sz w:val="28"/>
          <w:szCs w:val="28"/>
        </w:rPr>
        <w:t>ом</w:t>
      </w:r>
      <w:r w:rsidR="00C11D62" w:rsidRPr="00C11D62">
        <w:rPr>
          <w:kern w:val="28"/>
          <w:sz w:val="28"/>
          <w:szCs w:val="28"/>
        </w:rPr>
        <w:t xml:space="preserve"> Иркутской области от 12</w:t>
      </w:r>
      <w:r w:rsidR="00C11D62">
        <w:rPr>
          <w:kern w:val="28"/>
          <w:sz w:val="28"/>
          <w:szCs w:val="28"/>
        </w:rPr>
        <w:t>.11.</w:t>
      </w:r>
      <w:r w:rsidR="00C11D62" w:rsidRPr="00C11D62">
        <w:rPr>
          <w:kern w:val="28"/>
          <w:sz w:val="28"/>
          <w:szCs w:val="28"/>
        </w:rPr>
        <w:t xml:space="preserve">2019 </w:t>
      </w:r>
      <w:r w:rsidR="00C11D62">
        <w:rPr>
          <w:kern w:val="28"/>
          <w:sz w:val="28"/>
          <w:szCs w:val="28"/>
        </w:rPr>
        <w:t>№</w:t>
      </w:r>
      <w:r w:rsidR="00C11D62" w:rsidRPr="00C11D62">
        <w:rPr>
          <w:kern w:val="28"/>
          <w:sz w:val="28"/>
          <w:szCs w:val="28"/>
        </w:rPr>
        <w:t xml:space="preserve"> 112-ОЗ </w:t>
      </w:r>
      <w:r w:rsidR="00C11D62">
        <w:rPr>
          <w:kern w:val="28"/>
          <w:sz w:val="28"/>
          <w:szCs w:val="28"/>
        </w:rPr>
        <w:t>«</w:t>
      </w:r>
      <w:r w:rsidR="00C11D62"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 w:rsidR="00C11D62">
        <w:rPr>
          <w:kern w:val="28"/>
          <w:sz w:val="28"/>
          <w:szCs w:val="28"/>
        </w:rPr>
        <w:t xml:space="preserve">имости объектов налогообложения», </w:t>
      </w:r>
      <w:r w:rsidR="007D6CB6">
        <w:rPr>
          <w:kern w:val="28"/>
          <w:sz w:val="28"/>
          <w:szCs w:val="28"/>
        </w:rPr>
        <w:t>ста</w:t>
      </w:r>
      <w:r w:rsidR="00D21967">
        <w:rPr>
          <w:kern w:val="28"/>
          <w:sz w:val="28"/>
          <w:szCs w:val="28"/>
        </w:rPr>
        <w:t xml:space="preserve">тьями 6, </w:t>
      </w:r>
      <w:r w:rsidR="008E13F2">
        <w:rPr>
          <w:kern w:val="28"/>
          <w:sz w:val="28"/>
          <w:szCs w:val="28"/>
        </w:rPr>
        <w:t xml:space="preserve">24, </w:t>
      </w:r>
      <w:r w:rsidR="00D21967">
        <w:rPr>
          <w:kern w:val="28"/>
          <w:sz w:val="28"/>
          <w:szCs w:val="28"/>
        </w:rPr>
        <w:t>42, 52</w:t>
      </w:r>
      <w:r w:rsidRPr="00971B6D">
        <w:rPr>
          <w:kern w:val="28"/>
          <w:sz w:val="28"/>
          <w:szCs w:val="28"/>
        </w:rPr>
        <w:t xml:space="preserve"> Устава</w:t>
      </w:r>
      <w:r w:rsidR="00D21967">
        <w:rPr>
          <w:kern w:val="28"/>
          <w:sz w:val="28"/>
          <w:szCs w:val="28"/>
        </w:rPr>
        <w:t xml:space="preserve"> </w:t>
      </w:r>
      <w:r w:rsidR="008E13F2">
        <w:rPr>
          <w:kern w:val="28"/>
          <w:sz w:val="28"/>
          <w:szCs w:val="28"/>
        </w:rPr>
        <w:t>Парфеновского</w:t>
      </w:r>
      <w:r w:rsidR="008F5726">
        <w:rPr>
          <w:kern w:val="28"/>
          <w:sz w:val="28"/>
          <w:szCs w:val="28"/>
        </w:rPr>
        <w:t xml:space="preserve"> муниципального образования</w:t>
      </w:r>
      <w:r w:rsidRPr="00971B6D">
        <w:rPr>
          <w:kern w:val="28"/>
          <w:sz w:val="28"/>
          <w:szCs w:val="28"/>
        </w:rPr>
        <w:t xml:space="preserve">, </w:t>
      </w:r>
      <w:r w:rsidR="00D21967">
        <w:rPr>
          <w:kern w:val="28"/>
          <w:sz w:val="28"/>
          <w:szCs w:val="28"/>
        </w:rPr>
        <w:t xml:space="preserve">Дума </w:t>
      </w:r>
      <w:r w:rsidR="008E13F2">
        <w:rPr>
          <w:kern w:val="28"/>
          <w:sz w:val="28"/>
          <w:szCs w:val="28"/>
        </w:rPr>
        <w:t>Парфеновского</w:t>
      </w:r>
      <w:r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</w:p>
    <w:p w:rsidR="001542E0" w:rsidRPr="00AF4540" w:rsidRDefault="001542E0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1. Установить и ввести в действие на территории </w:t>
      </w:r>
      <w:r w:rsidR="008E13F2">
        <w:rPr>
          <w:sz w:val="28"/>
          <w:szCs w:val="28"/>
        </w:rPr>
        <w:t>Парфеновского</w:t>
      </w:r>
      <w:r w:rsidRPr="00AF4540">
        <w:rPr>
          <w:sz w:val="28"/>
          <w:szCs w:val="28"/>
        </w:rPr>
        <w:t xml:space="preserve"> муниципального образования) налог на имущество физических лиц, исчисляемый исходя из кадастровой</w:t>
      </w:r>
      <w:r w:rsidR="008E13F2">
        <w:rPr>
          <w:sz w:val="28"/>
          <w:szCs w:val="28"/>
        </w:rPr>
        <w:t xml:space="preserve"> </w:t>
      </w:r>
      <w:r w:rsidRPr="00AF4540">
        <w:rPr>
          <w:sz w:val="28"/>
          <w:szCs w:val="28"/>
        </w:rPr>
        <w:t>стоимости объектов налогообложения</w:t>
      </w:r>
      <w:r w:rsidR="00CC1EC0" w:rsidRPr="00AF4540">
        <w:rPr>
          <w:sz w:val="28"/>
          <w:szCs w:val="28"/>
        </w:rPr>
        <w:t xml:space="preserve">, указанных в </w:t>
      </w:r>
      <w:r w:rsidRPr="00AF4540">
        <w:rPr>
          <w:sz w:val="28"/>
          <w:szCs w:val="28"/>
        </w:rPr>
        <w:t>пункт</w:t>
      </w:r>
      <w:r w:rsidR="00A32761" w:rsidRPr="00AF4540">
        <w:rPr>
          <w:sz w:val="28"/>
          <w:szCs w:val="28"/>
        </w:rPr>
        <w:t>е</w:t>
      </w:r>
      <w:r w:rsidRPr="00AF4540">
        <w:rPr>
          <w:sz w:val="28"/>
          <w:szCs w:val="28"/>
        </w:rPr>
        <w:t xml:space="preserve"> 2 настоящего решения.</w:t>
      </w:r>
    </w:p>
    <w:p w:rsidR="001542E0" w:rsidRPr="00AF4540" w:rsidRDefault="001542E0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2. Установить налоговые ставки налога на имущество физических лиц в следующих размерах:</w:t>
      </w:r>
    </w:p>
    <w:p w:rsidR="0066151B" w:rsidRPr="00AF4540" w:rsidRDefault="00FF766E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2.1.</w:t>
      </w:r>
      <w:r w:rsidR="00C377B6" w:rsidRPr="00AF4540">
        <w:rPr>
          <w:sz w:val="28"/>
          <w:szCs w:val="28"/>
        </w:rPr>
        <w:t>0,1</w:t>
      </w:r>
      <w:r w:rsidR="009448CF" w:rsidRPr="00AF4540">
        <w:rPr>
          <w:sz w:val="28"/>
          <w:szCs w:val="28"/>
        </w:rPr>
        <w:t>процента</w:t>
      </w:r>
      <w:r w:rsidR="00B96E65" w:rsidRPr="00AF4540">
        <w:rPr>
          <w:sz w:val="28"/>
          <w:szCs w:val="28"/>
        </w:rPr>
        <w:t>в отношении</w:t>
      </w:r>
      <w:r w:rsidR="0066151B" w:rsidRPr="00AF4540">
        <w:rPr>
          <w:sz w:val="28"/>
          <w:szCs w:val="28"/>
        </w:rPr>
        <w:t>: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AA3559" w:rsidRPr="00AF4540">
        <w:rPr>
          <w:sz w:val="28"/>
          <w:szCs w:val="28"/>
        </w:rPr>
        <w:t>жилых домов, частей жилых домов, квартир, частей квартир, комнат;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B96E65" w:rsidRPr="00AF4540">
        <w:rPr>
          <w:sz w:val="28"/>
          <w:szCs w:val="28"/>
        </w:rPr>
        <w:t xml:space="preserve">в отношении </w:t>
      </w:r>
      <w:r w:rsidR="00AA3559" w:rsidRPr="00AF4540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-</w:t>
      </w:r>
      <w:r w:rsidR="00B96E65" w:rsidRPr="00AF4540">
        <w:rPr>
          <w:sz w:val="28"/>
          <w:szCs w:val="28"/>
        </w:rPr>
        <w:t xml:space="preserve"> в отношении </w:t>
      </w:r>
      <w:bookmarkStart w:id="0" w:name="sub_406214"/>
      <w:r w:rsidR="00AA3559" w:rsidRPr="00AF454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B96E65" w:rsidRPr="00AF4540">
        <w:rPr>
          <w:sz w:val="28"/>
          <w:szCs w:val="28"/>
        </w:rPr>
        <w:t xml:space="preserve">в отношении </w:t>
      </w:r>
      <w:bookmarkEnd w:id="0"/>
      <w:r w:rsidR="00AA3559" w:rsidRPr="00AF4540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sub_40622" w:history="1">
        <w:r w:rsidR="00AA3559" w:rsidRPr="004062D2">
          <w:t>подпункте 2</w:t>
        </w:r>
      </w:hyperlink>
      <w:r w:rsidR="00AA3559" w:rsidRPr="00AF4540">
        <w:rPr>
          <w:sz w:val="28"/>
          <w:szCs w:val="28"/>
        </w:rPr>
        <w:t xml:space="preserve"> настоящего пункта;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lastRenderedPageBreak/>
        <w:t xml:space="preserve">- </w:t>
      </w:r>
      <w:r w:rsidR="00B96E65" w:rsidRPr="00AF4540">
        <w:rPr>
          <w:sz w:val="28"/>
          <w:szCs w:val="28"/>
        </w:rPr>
        <w:t xml:space="preserve">в отношении </w:t>
      </w:r>
      <w:r w:rsidR="00AA3559" w:rsidRPr="00AF4540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AF4540">
        <w:rPr>
          <w:sz w:val="28"/>
          <w:szCs w:val="28"/>
        </w:rPr>
        <w:t>ального жилищного строительства;</w:t>
      </w:r>
    </w:p>
    <w:p w:rsidR="007B4DD2" w:rsidRPr="00AF4540" w:rsidRDefault="00CE1179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2.2. </w:t>
      </w:r>
      <w:bookmarkStart w:id="1" w:name="sub_40622"/>
      <w:r w:rsidR="00C377B6" w:rsidRPr="00AF4540">
        <w:rPr>
          <w:sz w:val="28"/>
          <w:szCs w:val="28"/>
        </w:rPr>
        <w:t xml:space="preserve">2 </w:t>
      </w:r>
      <w:r w:rsidR="009448CF" w:rsidRPr="00AF4540">
        <w:rPr>
          <w:sz w:val="28"/>
          <w:szCs w:val="28"/>
        </w:rPr>
        <w:t>процента</w:t>
      </w:r>
      <w:r w:rsidRPr="00AF4540">
        <w:rPr>
          <w:sz w:val="28"/>
          <w:szCs w:val="28"/>
        </w:rPr>
        <w:t xml:space="preserve"> в отношении </w:t>
      </w:r>
      <w:r w:rsidR="007B4DD2" w:rsidRPr="00AF4540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6583A" w:rsidRPr="004062D2">
          <w:t xml:space="preserve">пунктом 7 статьи </w:t>
        </w:r>
        <w:r w:rsidR="007B4DD2" w:rsidRPr="004062D2">
          <w:t>378.2</w:t>
        </w:r>
      </w:hyperlink>
      <w:r w:rsidR="00795483" w:rsidRPr="00AF4540">
        <w:rPr>
          <w:sz w:val="28"/>
          <w:szCs w:val="28"/>
        </w:rPr>
        <w:t>Налогового к</w:t>
      </w:r>
      <w:r w:rsidR="007B4DD2" w:rsidRPr="00AF4540">
        <w:rPr>
          <w:sz w:val="28"/>
          <w:szCs w:val="28"/>
        </w:rPr>
        <w:t>одекса</w:t>
      </w:r>
      <w:r w:rsidR="00795483" w:rsidRPr="00AF4540">
        <w:rPr>
          <w:sz w:val="28"/>
          <w:szCs w:val="28"/>
        </w:rPr>
        <w:t xml:space="preserve"> Российской Федерации</w:t>
      </w:r>
      <w:r w:rsidR="007B4DD2" w:rsidRPr="00AF4540">
        <w:rPr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CC4C1C">
          <w:rPr>
            <w:sz w:val="28"/>
            <w:szCs w:val="28"/>
          </w:rPr>
          <w:t>абз</w:t>
        </w:r>
        <w:r w:rsidR="0076583A" w:rsidRPr="00CC4C1C">
          <w:rPr>
            <w:sz w:val="28"/>
            <w:szCs w:val="28"/>
          </w:rPr>
          <w:t xml:space="preserve">ацем вторым пункта 10 статьи </w:t>
        </w:r>
        <w:r w:rsidR="007B4DD2" w:rsidRPr="00CC4C1C">
          <w:rPr>
            <w:sz w:val="28"/>
            <w:szCs w:val="28"/>
          </w:rPr>
          <w:t>378.2</w:t>
        </w:r>
      </w:hyperlink>
      <w:r w:rsidR="00795483" w:rsidRPr="00AF4540">
        <w:rPr>
          <w:sz w:val="28"/>
          <w:szCs w:val="28"/>
        </w:rPr>
        <w:t>Налогового кодекса Российской Федерации</w:t>
      </w:r>
      <w:r w:rsidR="007B4DD2" w:rsidRPr="00AF4540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5077BB" w:rsidRPr="00AF4540" w:rsidRDefault="005077B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2.3. </w:t>
      </w:r>
      <w:bookmarkStart w:id="2" w:name="sub_40623"/>
      <w:r w:rsidR="00C377B6" w:rsidRPr="00AF4540">
        <w:rPr>
          <w:sz w:val="28"/>
          <w:szCs w:val="28"/>
        </w:rPr>
        <w:t>0,5</w:t>
      </w:r>
      <w:r w:rsidR="009448CF" w:rsidRPr="00AF4540">
        <w:rPr>
          <w:sz w:val="28"/>
          <w:szCs w:val="28"/>
        </w:rPr>
        <w:t xml:space="preserve"> процента </w:t>
      </w:r>
      <w:r w:rsidRPr="00AF4540">
        <w:rPr>
          <w:sz w:val="28"/>
          <w:szCs w:val="28"/>
        </w:rPr>
        <w:t>в отношении прочих объектов налогообложения.</w:t>
      </w:r>
    </w:p>
    <w:bookmarkEnd w:id="2"/>
    <w:p w:rsidR="001D0927" w:rsidRPr="00AF4540" w:rsidRDefault="00AF4540" w:rsidP="00AF45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EB3" w:rsidRPr="00AF4540">
        <w:rPr>
          <w:sz w:val="28"/>
          <w:szCs w:val="28"/>
        </w:rPr>
        <w:t>3. Дополнительно к категориям налогоплательщиков, определенным </w:t>
      </w:r>
      <w:hyperlink r:id="rId6" w:history="1">
        <w:r w:rsidR="00192EB3" w:rsidRPr="00CC4C1C">
          <w:rPr>
            <w:sz w:val="28"/>
            <w:szCs w:val="28"/>
          </w:rPr>
          <w:t>пунктом 1 статьи 407 Налогового кодекса Российской Федерации</w:t>
        </w:r>
      </w:hyperlink>
      <w:r w:rsidR="00192EB3" w:rsidRPr="00AF4540">
        <w:rPr>
          <w:sz w:val="28"/>
          <w:szCs w:val="28"/>
        </w:rPr>
        <w:t>, предоставить льготу по уплате налога на имущество физических лиц физическим лицам, имеющим трех и более несовершеннолетних детей, а также самим несовершеннолетним детям в соответствующих семьях.</w:t>
      </w:r>
    </w:p>
    <w:p w:rsidR="001D0927" w:rsidRPr="00AF4540" w:rsidRDefault="00192EB3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>Физические лица, имеющие право на налоговую льготу, установленную данным пунктом,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D0927" w:rsidRPr="00AF4540" w:rsidRDefault="00192EB3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>Документами, подтверждающими право на налоговую льготу, являются: документ, удостоверяющий личность физического лица, признаваемого налогоплательщиком по данному налогу, а также удостоверение многодетной семьи, выданное на его имя, либо свидетельства о рождении трех и более детей, родителем (усыновителем) которых он является, и удостоверение многодетной семьи, выданное на имя другого родителя (усыновителя), в котором эти дети указаны.</w:t>
      </w:r>
    </w:p>
    <w:p w:rsidR="005077BB" w:rsidRPr="00AF4540" w:rsidRDefault="00192EB3" w:rsidP="004062D2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Льгота по налогу, предусмотренная данным пунктом, применяется в размере и порядке, установленными </w:t>
      </w:r>
      <w:hyperlink r:id="rId7" w:history="1">
        <w:r w:rsidRPr="004062D2">
          <w:rPr>
            <w:sz w:val="28"/>
            <w:szCs w:val="28"/>
          </w:rPr>
          <w:t>статьей 407 Налогового кодекса Российской Федерации</w:t>
        </w:r>
      </w:hyperlink>
      <w:r w:rsidRPr="00AF4540">
        <w:rPr>
          <w:sz w:val="28"/>
          <w:szCs w:val="28"/>
        </w:rPr>
        <w:t>.</w:t>
      </w:r>
      <w:r w:rsidR="00794706" w:rsidRPr="00AF4540">
        <w:rPr>
          <w:sz w:val="28"/>
          <w:szCs w:val="28"/>
        </w:rPr>
        <w:t>».</w:t>
      </w:r>
    </w:p>
    <w:bookmarkEnd w:id="1"/>
    <w:p w:rsidR="00690847" w:rsidRPr="00AF4540" w:rsidRDefault="006313CA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</w:r>
      <w:r w:rsidR="002164E5" w:rsidRPr="00AF4540">
        <w:rPr>
          <w:sz w:val="28"/>
          <w:szCs w:val="28"/>
        </w:rPr>
        <w:t xml:space="preserve">4. </w:t>
      </w:r>
      <w:r w:rsidRPr="00AF4540">
        <w:rPr>
          <w:sz w:val="28"/>
          <w:szCs w:val="28"/>
        </w:rPr>
        <w:t xml:space="preserve">Администрации </w:t>
      </w:r>
      <w:r w:rsidR="008E13F2">
        <w:rPr>
          <w:sz w:val="28"/>
          <w:szCs w:val="28"/>
        </w:rPr>
        <w:t>Парфеновского</w:t>
      </w:r>
      <w:r w:rsidRPr="00AF4540">
        <w:rPr>
          <w:sz w:val="28"/>
          <w:szCs w:val="28"/>
        </w:rPr>
        <w:t xml:space="preserve"> муниципального образования</w:t>
      </w:r>
      <w:r w:rsidR="00690847" w:rsidRPr="00AF4540">
        <w:rPr>
          <w:sz w:val="28"/>
          <w:szCs w:val="28"/>
        </w:rPr>
        <w:t>:</w:t>
      </w:r>
    </w:p>
    <w:p w:rsidR="006313CA" w:rsidRPr="00AF4540" w:rsidRDefault="00690847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  <w:t>4.1.</w:t>
      </w:r>
      <w:r w:rsidR="006313CA" w:rsidRPr="00AF4540">
        <w:rPr>
          <w:sz w:val="28"/>
          <w:szCs w:val="28"/>
        </w:rPr>
        <w:t xml:space="preserve"> опубликовать настоящее решение в официальном</w:t>
      </w:r>
      <w:r w:rsidR="008E13F2">
        <w:rPr>
          <w:sz w:val="28"/>
          <w:szCs w:val="28"/>
        </w:rPr>
        <w:t xml:space="preserve"> издании «Парфеновский</w:t>
      </w:r>
      <w:r w:rsidR="006313CA" w:rsidRPr="00AF4540">
        <w:rPr>
          <w:sz w:val="28"/>
          <w:szCs w:val="28"/>
        </w:rPr>
        <w:t xml:space="preserve"> вестник» и разместить в информационно-телекоммуникационной сети «</w:t>
      </w:r>
      <w:r w:rsidR="00D21967" w:rsidRPr="00AF4540">
        <w:rPr>
          <w:sz w:val="28"/>
          <w:szCs w:val="28"/>
        </w:rPr>
        <w:t xml:space="preserve">Интернет» в подразделе </w:t>
      </w:r>
      <w:r w:rsidR="008E13F2">
        <w:rPr>
          <w:sz w:val="28"/>
          <w:szCs w:val="28"/>
        </w:rPr>
        <w:t>Парфеновского</w:t>
      </w:r>
      <w:r w:rsidR="006313CA" w:rsidRPr="00AF4540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</w:t>
      </w:r>
      <w:r w:rsidRPr="00AF4540">
        <w:rPr>
          <w:sz w:val="28"/>
          <w:szCs w:val="28"/>
        </w:rPr>
        <w:t>ного муниципального образования;</w:t>
      </w:r>
    </w:p>
    <w:p w:rsidR="008F3ED2" w:rsidRPr="00AF4540" w:rsidRDefault="00690847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4.2. направить настоящее решение в </w:t>
      </w:r>
      <w:r w:rsidR="00065EB5" w:rsidRPr="00AF4540">
        <w:rPr>
          <w:sz w:val="28"/>
          <w:szCs w:val="28"/>
        </w:rPr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8" w:history="1"/>
      <w:r w:rsidR="00065EB5" w:rsidRPr="00AF4540">
        <w:rPr>
          <w:sz w:val="28"/>
          <w:szCs w:val="28"/>
        </w:rPr>
        <w:t xml:space="preserve"> порядке, определенном приказом Федеральной налоговой службы от 22.11.2018 № ММВ-7-21/652@«Об утверждении формы и формата представления информации об установлении, изменении и прекращении </w:t>
      </w:r>
      <w:r w:rsidR="00065EB5" w:rsidRPr="00AF4540">
        <w:rPr>
          <w:sz w:val="28"/>
          <w:szCs w:val="28"/>
        </w:rPr>
        <w:lastRenderedPageBreak/>
        <w:t>действия региональных и местных налогов, а также порядка направления указанной информации в электронной форме».</w:t>
      </w:r>
      <w:bookmarkStart w:id="3" w:name="sub_3003"/>
    </w:p>
    <w:bookmarkEnd w:id="3"/>
    <w:p w:rsidR="001542E0" w:rsidRPr="008E13F2" w:rsidRDefault="006C222F" w:rsidP="00AF4540">
      <w:pPr>
        <w:ind w:firstLine="708"/>
        <w:jc w:val="both"/>
        <w:rPr>
          <w:sz w:val="28"/>
          <w:szCs w:val="28"/>
        </w:rPr>
      </w:pPr>
      <w:r w:rsidRPr="008E13F2">
        <w:rPr>
          <w:sz w:val="28"/>
          <w:szCs w:val="28"/>
        </w:rPr>
        <w:t>5</w:t>
      </w:r>
      <w:r w:rsidR="002164E5" w:rsidRPr="008E13F2">
        <w:rPr>
          <w:sz w:val="28"/>
          <w:szCs w:val="28"/>
        </w:rPr>
        <w:t xml:space="preserve">. </w:t>
      </w:r>
      <w:r w:rsidR="001542E0" w:rsidRPr="008E13F2">
        <w:rPr>
          <w:sz w:val="28"/>
          <w:szCs w:val="28"/>
        </w:rPr>
        <w:t xml:space="preserve">Настоящее решение </w:t>
      </w:r>
      <w:r w:rsidR="0076583A" w:rsidRPr="008E13F2">
        <w:rPr>
          <w:sz w:val="28"/>
          <w:szCs w:val="28"/>
        </w:rPr>
        <w:t xml:space="preserve">вступает в силу с 1 января 2020 </w:t>
      </w:r>
      <w:r w:rsidR="001542E0" w:rsidRPr="008E13F2">
        <w:rPr>
          <w:sz w:val="28"/>
          <w:szCs w:val="28"/>
        </w:rPr>
        <w:t>года, но не ранее чем по истечении одного месяца со дня</w:t>
      </w:r>
      <w:r w:rsidRPr="008E13F2">
        <w:rPr>
          <w:sz w:val="28"/>
          <w:szCs w:val="28"/>
        </w:rPr>
        <w:t xml:space="preserve"> его официального опубликования, и применяется </w:t>
      </w:r>
      <w:r w:rsidR="009C4C4D" w:rsidRPr="008E13F2">
        <w:rPr>
          <w:sz w:val="28"/>
          <w:szCs w:val="28"/>
        </w:rPr>
        <w:t>для налогов, исчисляемых</w:t>
      </w:r>
      <w:r w:rsidR="008E13F2" w:rsidRPr="008E13F2">
        <w:rPr>
          <w:sz w:val="28"/>
          <w:szCs w:val="28"/>
        </w:rPr>
        <w:t xml:space="preserve"> </w:t>
      </w:r>
      <w:r w:rsidR="009C4C4D" w:rsidRPr="008E13F2">
        <w:rPr>
          <w:sz w:val="28"/>
          <w:szCs w:val="28"/>
        </w:rPr>
        <w:t>с</w:t>
      </w:r>
      <w:r w:rsidRPr="008E13F2">
        <w:rPr>
          <w:sz w:val="28"/>
          <w:szCs w:val="28"/>
        </w:rPr>
        <w:t xml:space="preserve"> 2020 год</w:t>
      </w:r>
      <w:r w:rsidR="009C4C4D" w:rsidRPr="008E13F2">
        <w:rPr>
          <w:sz w:val="28"/>
          <w:szCs w:val="28"/>
        </w:rPr>
        <w:t>а</w:t>
      </w:r>
      <w:r w:rsidRPr="008E13F2">
        <w:rPr>
          <w:sz w:val="28"/>
          <w:szCs w:val="28"/>
        </w:rPr>
        <w:t>.</w:t>
      </w:r>
    </w:p>
    <w:p w:rsidR="00661E84" w:rsidRPr="00AF4540" w:rsidRDefault="006C222F" w:rsidP="00AF4540">
      <w:pPr>
        <w:ind w:firstLine="708"/>
        <w:jc w:val="both"/>
        <w:rPr>
          <w:sz w:val="28"/>
          <w:szCs w:val="28"/>
        </w:rPr>
      </w:pPr>
      <w:r w:rsidRPr="008E13F2">
        <w:rPr>
          <w:sz w:val="28"/>
          <w:szCs w:val="28"/>
        </w:rPr>
        <w:t xml:space="preserve">6. </w:t>
      </w:r>
      <w:r w:rsidR="00661E84" w:rsidRPr="008E13F2">
        <w:rPr>
          <w:sz w:val="28"/>
          <w:szCs w:val="28"/>
        </w:rPr>
        <w:t>Для налогов, исчисл</w:t>
      </w:r>
      <w:r w:rsidR="009C4C4D" w:rsidRPr="008E13F2">
        <w:rPr>
          <w:sz w:val="28"/>
          <w:szCs w:val="28"/>
        </w:rPr>
        <w:t>яемых</w:t>
      </w:r>
      <w:r w:rsidR="00661E84" w:rsidRPr="008E13F2">
        <w:rPr>
          <w:sz w:val="28"/>
          <w:szCs w:val="28"/>
        </w:rPr>
        <w:t xml:space="preserve"> за 2019 год, применяется решение </w:t>
      </w:r>
      <w:hyperlink r:id="rId9" w:history="1">
        <w:r w:rsidR="00661E84" w:rsidRPr="008E13F2">
          <w:rPr>
            <w:sz w:val="28"/>
            <w:szCs w:val="28"/>
          </w:rPr>
          <w:t xml:space="preserve">Думы </w:t>
        </w:r>
        <w:r w:rsidR="008E13F2" w:rsidRPr="008E13F2">
          <w:rPr>
            <w:sz w:val="28"/>
            <w:szCs w:val="28"/>
          </w:rPr>
          <w:t>Парфеновского</w:t>
        </w:r>
        <w:r w:rsidR="00661E84" w:rsidRPr="008E13F2">
          <w:rPr>
            <w:sz w:val="28"/>
            <w:szCs w:val="28"/>
          </w:rPr>
          <w:t xml:space="preserve"> муниципального </w:t>
        </w:r>
        <w:r w:rsidR="008E13F2">
          <w:rPr>
            <w:sz w:val="28"/>
            <w:szCs w:val="28"/>
          </w:rPr>
          <w:t>образования от 30.11.2016 № 15</w:t>
        </w:r>
        <w:r w:rsidR="00661E84" w:rsidRPr="008E13F2">
          <w:rPr>
            <w:sz w:val="28"/>
            <w:szCs w:val="28"/>
          </w:rPr>
          <w:t xml:space="preserve"> «О</w:t>
        </w:r>
        <w:r w:rsidR="008E13F2">
          <w:rPr>
            <w:sz w:val="28"/>
            <w:szCs w:val="28"/>
          </w:rPr>
          <w:t>б установлении и введении в действие на территории Парфеновского муниципального образования</w:t>
        </w:r>
        <w:r w:rsidR="00661E84" w:rsidRPr="008E13F2">
          <w:rPr>
            <w:sz w:val="28"/>
            <w:szCs w:val="28"/>
          </w:rPr>
          <w:t xml:space="preserve"> </w:t>
        </w:r>
        <w:r w:rsidR="008E13F2">
          <w:rPr>
            <w:sz w:val="28"/>
            <w:szCs w:val="28"/>
          </w:rPr>
          <w:t xml:space="preserve">налога </w:t>
        </w:r>
        <w:r w:rsidR="00661E84" w:rsidRPr="008E13F2">
          <w:rPr>
            <w:sz w:val="28"/>
            <w:szCs w:val="28"/>
          </w:rPr>
          <w:t>на имущество физических лиц</w:t>
        </w:r>
      </w:hyperlink>
      <w:r w:rsidR="00661E84" w:rsidRPr="008E13F2">
        <w:rPr>
          <w:sz w:val="28"/>
          <w:szCs w:val="28"/>
        </w:rPr>
        <w:t>».</w:t>
      </w:r>
      <w:bookmarkStart w:id="4" w:name="_GoBack"/>
      <w:bookmarkEnd w:id="4"/>
    </w:p>
    <w:p w:rsidR="006C222F" w:rsidRPr="004062D2" w:rsidRDefault="006C222F" w:rsidP="0021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2E0" w:rsidRDefault="001542E0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861839" w:rsidRDefault="0086183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EE64F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A3B6D" w:rsidRDefault="0076583A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8E13F2">
        <w:rPr>
          <w:sz w:val="28"/>
          <w:szCs w:val="28"/>
        </w:rPr>
        <w:t>Парфеновского</w:t>
      </w:r>
    </w:p>
    <w:p w:rsidR="005A3B6D" w:rsidRDefault="0076583A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774E15">
        <w:rPr>
          <w:sz w:val="28"/>
          <w:szCs w:val="28"/>
        </w:rPr>
        <w:t>го образования</w:t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  <w:t>А.Н. Башкиров</w:t>
      </w:r>
    </w:p>
    <w:p w:rsidR="005A3B6D" w:rsidRPr="0019398C" w:rsidRDefault="005A3B6D" w:rsidP="005A3B6D">
      <w:pPr>
        <w:rPr>
          <w:sz w:val="28"/>
          <w:szCs w:val="28"/>
        </w:rPr>
      </w:pPr>
    </w:p>
    <w:p w:rsidR="005A3B6D" w:rsidRPr="0019398C" w:rsidRDefault="005A3B6D" w:rsidP="005A3B6D">
      <w:pPr>
        <w:rPr>
          <w:sz w:val="28"/>
          <w:szCs w:val="28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13F2">
        <w:rPr>
          <w:sz w:val="28"/>
          <w:szCs w:val="28"/>
        </w:rPr>
        <w:t xml:space="preserve"> Парфеновского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74E15">
        <w:rPr>
          <w:sz w:val="28"/>
          <w:szCs w:val="28"/>
        </w:rPr>
        <w:t>ого образования</w:t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</w:r>
      <w:r w:rsidR="00774E15">
        <w:rPr>
          <w:sz w:val="28"/>
          <w:szCs w:val="28"/>
        </w:rPr>
        <w:tab/>
        <w:t>А.Н. Башкиров</w:t>
      </w:r>
    </w:p>
    <w:p w:rsidR="005A3B6D" w:rsidRPr="00A26828" w:rsidRDefault="005A3B6D" w:rsidP="005A3B6D">
      <w:pPr>
        <w:rPr>
          <w:sz w:val="28"/>
          <w:szCs w:val="28"/>
        </w:rPr>
      </w:pPr>
    </w:p>
    <w:p w:rsidR="005A3B6D" w:rsidRPr="00EE64F3" w:rsidRDefault="005A3B6D" w:rsidP="008E13F2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sectPr w:rsidR="005A3B6D" w:rsidRPr="00EE64F3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DF" w:rsidRDefault="000629DF" w:rsidP="002462CF">
      <w:r>
        <w:separator/>
      </w:r>
    </w:p>
  </w:endnote>
  <w:endnote w:type="continuationSeparator" w:id="1">
    <w:p w:rsidR="000629DF" w:rsidRDefault="000629DF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DF" w:rsidRDefault="000629DF" w:rsidP="002462CF">
      <w:r>
        <w:separator/>
      </w:r>
    </w:p>
  </w:footnote>
  <w:footnote w:type="continuationSeparator" w:id="1">
    <w:p w:rsidR="000629DF" w:rsidRDefault="000629DF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474CA"/>
    <w:rsid w:val="00053391"/>
    <w:rsid w:val="000629DF"/>
    <w:rsid w:val="00063FBE"/>
    <w:rsid w:val="00065EB5"/>
    <w:rsid w:val="00084CA0"/>
    <w:rsid w:val="000E0EDA"/>
    <w:rsid w:val="000E3F35"/>
    <w:rsid w:val="00112B2B"/>
    <w:rsid w:val="001133BE"/>
    <w:rsid w:val="00133898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171E"/>
    <w:rsid w:val="002462CF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55C6"/>
    <w:rsid w:val="003E5402"/>
    <w:rsid w:val="003F3BA8"/>
    <w:rsid w:val="004062D2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A21E4"/>
    <w:rsid w:val="005A3B6D"/>
    <w:rsid w:val="005C0BE0"/>
    <w:rsid w:val="005C4CBA"/>
    <w:rsid w:val="005F5DA1"/>
    <w:rsid w:val="00617047"/>
    <w:rsid w:val="006313CA"/>
    <w:rsid w:val="00641F12"/>
    <w:rsid w:val="00651644"/>
    <w:rsid w:val="0066151B"/>
    <w:rsid w:val="00661E84"/>
    <w:rsid w:val="00667FD1"/>
    <w:rsid w:val="00672F18"/>
    <w:rsid w:val="00682B52"/>
    <w:rsid w:val="00690847"/>
    <w:rsid w:val="00696542"/>
    <w:rsid w:val="006A0EA2"/>
    <w:rsid w:val="006C222F"/>
    <w:rsid w:val="006E04BD"/>
    <w:rsid w:val="006E2582"/>
    <w:rsid w:val="007013AF"/>
    <w:rsid w:val="00715391"/>
    <w:rsid w:val="00721F32"/>
    <w:rsid w:val="00736B4E"/>
    <w:rsid w:val="0076583A"/>
    <w:rsid w:val="00774E15"/>
    <w:rsid w:val="00791521"/>
    <w:rsid w:val="00794706"/>
    <w:rsid w:val="00794F62"/>
    <w:rsid w:val="00795483"/>
    <w:rsid w:val="007A2795"/>
    <w:rsid w:val="007B06A9"/>
    <w:rsid w:val="007B3484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13F2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C4C4D"/>
    <w:rsid w:val="009D630E"/>
    <w:rsid w:val="009F1A4D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C61C1"/>
    <w:rsid w:val="00AD4856"/>
    <w:rsid w:val="00AF4540"/>
    <w:rsid w:val="00B07559"/>
    <w:rsid w:val="00B3132E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377B6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A1790"/>
    <w:rsid w:val="00CC1EC0"/>
    <w:rsid w:val="00CC4C1C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967"/>
    <w:rsid w:val="00D31025"/>
    <w:rsid w:val="00D57D05"/>
    <w:rsid w:val="00D654A1"/>
    <w:rsid w:val="00D70FBC"/>
    <w:rsid w:val="00D73F5A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441E7"/>
    <w:rsid w:val="00E5410E"/>
    <w:rsid w:val="00E664AA"/>
    <w:rsid w:val="00E67A20"/>
    <w:rsid w:val="00E67AC3"/>
    <w:rsid w:val="00E821A9"/>
    <w:rsid w:val="00E82B6F"/>
    <w:rsid w:val="00E958FF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0188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50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Парфемово</cp:lastModifiedBy>
  <cp:revision>12</cp:revision>
  <cp:lastPrinted>2019-11-27T02:41:00Z</cp:lastPrinted>
  <dcterms:created xsi:type="dcterms:W3CDTF">2019-11-26T03:08:00Z</dcterms:created>
  <dcterms:modified xsi:type="dcterms:W3CDTF">2019-11-27T02:43:00Z</dcterms:modified>
</cp:coreProperties>
</file>